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0804" w14:textId="6B27066B" w:rsidR="00603C04" w:rsidRPr="00603C04" w:rsidRDefault="00603C04" w:rsidP="00603C0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u w:val="single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u w:val="single"/>
          <w:lang w:eastAsia="es-ES_tradnl"/>
          <w14:ligatures w14:val="none"/>
        </w:rPr>
        <w:t>CUNA DE PLATERO CANAL DE DENUNCIAS INFRACCIONES Y DELITOS CONTRA EL MEDIO AMBIENTE.</w:t>
      </w:r>
    </w:p>
    <w:p w14:paraId="43DE960C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</w:p>
    <w:p w14:paraId="3F58A1F1" w14:textId="39DF3AC6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El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Compliance Ambiental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en España se refiere al conjunto de políticas, procedimientos y herramientas implementadas por una organización para asegurar el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cumplimiento de la extensa y compleja normativa medioambiental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(administrativa y penal), previniendo así sanciones, responsabilidades civiles y, en última instancia, delitos.</w:t>
      </w:r>
    </w:p>
    <w:p w14:paraId="46495D9D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Se fundamenta en la legislación española que establece la responsabilidad tanto de los daños ambientales como de los delitos ecológicos.</w:t>
      </w:r>
    </w:p>
    <w:p w14:paraId="07991952" w14:textId="77777777" w:rsidR="00603C04" w:rsidRPr="00603C04" w:rsidRDefault="00B80ABE" w:rsidP="00603C04">
      <w:pPr>
        <w:rPr>
          <w:rFonts w:eastAsia="Times New Roman" w:cs="Times New Roman"/>
          <w:kern w:val="0"/>
          <w:lang w:eastAsia="es-ES_tradnl"/>
          <w14:ligatures w14:val="none"/>
        </w:rPr>
      </w:pPr>
      <w:r w:rsidRPr="00B80ABE">
        <w:rPr>
          <w:rFonts w:eastAsia="Times New Roman" w:cs="Times New Roman"/>
          <w:noProof/>
          <w:kern w:val="0"/>
          <w:lang w:eastAsia="es-ES_tradnl"/>
        </w:rPr>
        <w:pict w14:anchorId="4BA24B3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76D04A1" w14:textId="44380FE3" w:rsidR="00603C04" w:rsidRPr="00603C04" w:rsidRDefault="00603C04" w:rsidP="00603C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1. Marco Regulatorio del Compliance Ambiental</w:t>
      </w:r>
    </w:p>
    <w:p w14:paraId="4C5763E9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El Compliance Ambiental se estructura sobre dos pilares principales en la legislación española: la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Responsabilidad Civil y Administrativa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y la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Responsabilidad Penal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de las personas jurídicas.</w:t>
      </w:r>
    </w:p>
    <w:p w14:paraId="4FA0D02A" w14:textId="77777777" w:rsidR="00603C04" w:rsidRPr="00603C04" w:rsidRDefault="00603C04" w:rsidP="00603C0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A. Cumplimiento Administrativo y Civil (Responsabilidad Objetiva)</w:t>
      </w:r>
    </w:p>
    <w:p w14:paraId="675EB206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La ley fundamental que rige la responsabilidad por daños ambientales es:</w:t>
      </w:r>
    </w:p>
    <w:p w14:paraId="36E0770F" w14:textId="77777777" w:rsidR="00603C04" w:rsidRPr="00603C04" w:rsidRDefault="00603C04" w:rsidP="00603C0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Ley 26/2007, de 23 de octubre, de Responsabilidad Medioambiental:</w:t>
      </w:r>
    </w:p>
    <w:p w14:paraId="5C443CFC" w14:textId="77777777" w:rsidR="00603C04" w:rsidRPr="00603C04" w:rsidRDefault="00603C04" w:rsidP="00603C0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Establece el principio de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"quien contamina paga"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>.</w:t>
      </w:r>
    </w:p>
    <w:p w14:paraId="40E474C6" w14:textId="77777777" w:rsidR="00603C04" w:rsidRPr="00603C04" w:rsidRDefault="00603C04" w:rsidP="00603C0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Establece la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responsabilidad objetiva, ilimitada y obligatoria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para los operadores de ciertas actividades consideradas peligrosas (Anexo III de la Ley).</w:t>
      </w:r>
    </w:p>
    <w:p w14:paraId="1760B8FB" w14:textId="77777777" w:rsidR="00603C04" w:rsidRPr="00603C04" w:rsidRDefault="00603C04" w:rsidP="00603C0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Obliga a los operadores 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prevenir, evitar y reparar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los daños ambientales que causen, independientemente de si hubo dolo, culpa o negligencia.</w:t>
      </w:r>
    </w:p>
    <w:p w14:paraId="74A541FB" w14:textId="77777777" w:rsidR="00603C04" w:rsidRPr="00603C04" w:rsidRDefault="00603C04" w:rsidP="00603C0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El Compliance, en este ámbito, se centra en identificar y evaluar los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riesgos ambientales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para tener medidas de prevención y fondos suficientes (garantías financieras) para la reparación.</w:t>
      </w:r>
    </w:p>
    <w:p w14:paraId="02E1415C" w14:textId="77777777" w:rsidR="00603C04" w:rsidRPr="00603C04" w:rsidRDefault="00603C04" w:rsidP="00603C0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B. Cumplimiento Penal (Responsabilidad Penal de la Persona Jurídica)</w:t>
      </w:r>
    </w:p>
    <w:p w14:paraId="16950D9D" w14:textId="77777777" w:rsidR="00603C04" w:rsidRPr="00603C04" w:rsidRDefault="00603C04" w:rsidP="00603C0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Código Penal (Art. 31 bis y Art. 325 y ss.):</w:t>
      </w:r>
    </w:p>
    <w:p w14:paraId="6F37F370" w14:textId="77777777" w:rsidR="00603C04" w:rsidRPr="00603C04" w:rsidRDefault="00603C04" w:rsidP="00603C0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Desde la reforma del Código Penal, las personas jurídicas (empresas) pueden ser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responsables penalmente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por delitos contra el medio ambiente (vertidos, residuos, etc.).</w:t>
      </w:r>
    </w:p>
    <w:p w14:paraId="5082F165" w14:textId="77777777" w:rsidR="00603C04" w:rsidRPr="00603C04" w:rsidRDefault="00603C04" w:rsidP="00603C0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Un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Programa de Compliance Penal Ambiental eficaz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puede servir como atenuante o eximente de la responsabilidad penal de la empresa si se demuestra que se implementaron medidas adecuadas para prevenir el delito antes de su comisión.</w:t>
      </w:r>
    </w:p>
    <w:p w14:paraId="4A738423" w14:textId="5DBFD9CA" w:rsidR="00603C04" w:rsidRPr="00603C04" w:rsidRDefault="00603C04" w:rsidP="00603C04">
      <w:pPr>
        <w:rPr>
          <w:rFonts w:eastAsia="Times New Roman" w:cs="Times New Roman"/>
          <w:kern w:val="0"/>
          <w:lang w:eastAsia="es-ES_tradnl"/>
          <w14:ligatures w14:val="none"/>
        </w:rPr>
      </w:pPr>
    </w:p>
    <w:p w14:paraId="57BF2887" w14:textId="368F1FD2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Cuna de Platero pone a disposición de sus empleados, socios, clientes y proveedores, así como de cualquier tercero que tenga conocimiento de la comisión de alguna infracción medio ambiental, o de un delito sobre el medio ambiente el Canal de Denuncias, donde podrán exponer sus quejas a través del email </w:t>
      </w:r>
      <w:hyperlink r:id="rId5" w:history="1">
        <w:r w:rsidRPr="00603C04">
          <w:rPr>
            <w:rStyle w:val="Hipervnculo"/>
            <w:rFonts w:eastAsia="Times New Roman" w:cs="Times New Roman"/>
            <w:kern w:val="0"/>
            <w:lang w:eastAsia="es-ES_tradnl"/>
            <w14:ligatures w14:val="none"/>
          </w:rPr>
          <w:t>compliance@cunadeplatero.com</w:t>
        </w:r>
      </w:hyperlink>
    </w:p>
    <w:p w14:paraId="2F1B6A5A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</w:p>
    <w:p w14:paraId="392579EA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La legislación ambiental aplicable al sector de frutos rojos (</w:t>
      </w:r>
      <w:r w:rsidRPr="00603C04">
        <w:rPr>
          <w:rFonts w:eastAsia="Times New Roman" w:cs="Times New Roman"/>
          <w:i/>
          <w:iCs/>
          <w:kern w:val="0"/>
          <w:lang w:eastAsia="es-ES_tradnl"/>
          <w14:ligatures w14:val="none"/>
        </w:rPr>
        <w:t>berries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) en Huelva es particularmente estricta y compleja debido a la proximidad del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Espacio Natural de Doñana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y la intensa explotación de los recursos hídricos en la zona.</w:t>
      </w:r>
    </w:p>
    <w:p w14:paraId="6DC2C9AA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Esta normativa se articula en tres grandes ejes que definen el </w:t>
      </w:r>
      <w:r w:rsidRPr="00603C04">
        <w:rPr>
          <w:rFonts w:eastAsia="Times New Roman" w:cs="Times New Roman"/>
          <w:i/>
          <w:iCs/>
          <w:kern w:val="0"/>
          <w:lang w:eastAsia="es-ES_tradnl"/>
          <w14:ligatures w14:val="none"/>
        </w:rPr>
        <w:t>Compliance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Ambiental del sector: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Agua, Nutrientes y Espacio Protegido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, y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Residuos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>.</w:t>
      </w:r>
    </w:p>
    <w:p w14:paraId="64BF7FC8" w14:textId="4933A7F9" w:rsidR="00603C04" w:rsidRPr="00603C04" w:rsidRDefault="00603C04" w:rsidP="00603C04">
      <w:pPr>
        <w:rPr>
          <w:rFonts w:eastAsia="Times New Roman" w:cs="Times New Roman"/>
          <w:kern w:val="0"/>
          <w:lang w:eastAsia="es-ES_tradnl"/>
          <w14:ligatures w14:val="none"/>
        </w:rPr>
      </w:pPr>
    </w:p>
    <w:p w14:paraId="2196139E" w14:textId="68633C10" w:rsidR="00603C04" w:rsidRPr="00603C04" w:rsidRDefault="00603C04" w:rsidP="00603C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2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.  Eje del Agua y la Sequía (Confederación Hidrográfica del Guadalquivir - CHG)</w:t>
      </w:r>
    </w:p>
    <w:p w14:paraId="157B66D3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El control del uso del agua es el aspecto ambiental más crítico en la zona de Huelva, especialmente en el entorno de Doñana, donde el riego ilegal constituye un delito penal.</w:t>
      </w:r>
    </w:p>
    <w:p w14:paraId="3A2458A3" w14:textId="77777777" w:rsidR="00603C04" w:rsidRPr="00603C04" w:rsidRDefault="00603C04" w:rsidP="00603C0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A. Ley de Aguas y Uso Ilegal</w:t>
      </w:r>
    </w:p>
    <w:p w14:paraId="1F693098" w14:textId="77777777" w:rsidR="00603C04" w:rsidRPr="00603C04" w:rsidRDefault="00603C04" w:rsidP="00603C0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Texto Refundido de la Ley de Aguas (Real Decreto Legislativo 1/2001):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Es la norma básica. Establece que cualquier uso de agua, superficial o subterránea (pozos), requiere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autorización o concesión de la Confederación Hidrográfica del Guadalquivir (CHG)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>.</w:t>
      </w:r>
    </w:p>
    <w:p w14:paraId="217A06B8" w14:textId="77777777" w:rsidR="00603C04" w:rsidRPr="00603C04" w:rsidRDefault="00603C04" w:rsidP="00603C0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Infracciones: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derivación de aguas subterráneas para riego sin autorización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constituye una infracción administrativa grave o muy grave (multas elevadas y obligación de indemnizar daños al Dominio Público Hidráulico).</w:t>
      </w:r>
    </w:p>
    <w:p w14:paraId="61608FF7" w14:textId="77777777" w:rsidR="00603C04" w:rsidRPr="00603C04" w:rsidRDefault="00603C04" w:rsidP="00603C0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Delito Penal: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sustracción de agua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del acuífero para el riego (especialmente en la zona de Doñana) puede constituir un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Delito contra los Recursos Naturales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(Artículo 325 del Código Penal), con penas de prisión, como ha ocurrido en sentencias de la Audiencia Provincial de Huelva.</w:t>
      </w:r>
    </w:p>
    <w:p w14:paraId="507FEFBD" w14:textId="77777777" w:rsidR="00603C04" w:rsidRPr="00603C04" w:rsidRDefault="00603C04" w:rsidP="00603C0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B. Normativa de Sequía y Restricciones (Andalucía)</w:t>
      </w:r>
    </w:p>
    <w:p w14:paraId="571D0CE9" w14:textId="77777777" w:rsidR="00603C04" w:rsidRPr="00603C04" w:rsidRDefault="00603C04" w:rsidP="00603C0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Decreto-ley 2/2024 de la Junta de Andalucía (Medidas Adicionales de Sequía):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Establece limitaciones estrictas al uso de agua en las demarcaciones intracomunitarias (aplicables al regadío agrícola).</w:t>
      </w:r>
    </w:p>
    <w:p w14:paraId="10852C07" w14:textId="77777777" w:rsidR="00603C04" w:rsidRPr="00603C04" w:rsidRDefault="00603C04" w:rsidP="00603C04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lastRenderedPageBreak/>
        <w:t>Limitación: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Se prevén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limitaciones de hasta el 75%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de los volúmenes suministrados para riego agrícola en ciertas áreas, afectando a recursos superficiales y subterráneos.</w:t>
      </w:r>
    </w:p>
    <w:p w14:paraId="5FF6B2CD" w14:textId="707EBD5E" w:rsidR="00603C04" w:rsidRPr="00603C04" w:rsidRDefault="00603C04" w:rsidP="00603C04">
      <w:pPr>
        <w:rPr>
          <w:rFonts w:eastAsia="Times New Roman" w:cs="Times New Roman"/>
          <w:kern w:val="0"/>
          <w:lang w:eastAsia="es-ES_tradnl"/>
          <w14:ligatures w14:val="none"/>
        </w:rPr>
      </w:pPr>
    </w:p>
    <w:p w14:paraId="16364D66" w14:textId="32C3BA5F" w:rsidR="00603C04" w:rsidRPr="00603C04" w:rsidRDefault="00603C04" w:rsidP="00603C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3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.  Eje de Contaminación por Nitratos (Zonas Vulnerables)</w:t>
      </w:r>
    </w:p>
    <w:p w14:paraId="3C43FD40" w14:textId="5B345BC8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La intensa fertilización nitrogenada de los cultivos de frutos rojos genera contaminación difusa de las aguas, lo que exige un estricto </w:t>
      </w:r>
      <w:r w:rsidRPr="00603C04">
        <w:rPr>
          <w:rFonts w:eastAsia="Times New Roman" w:cs="Times New Roman"/>
          <w:i/>
          <w:iCs/>
          <w:kern w:val="0"/>
          <w:lang w:eastAsia="es-ES_tradnl"/>
          <w14:ligatures w14:val="none"/>
        </w:rPr>
        <w:t>Compliance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con la Directiva de Nitratos.</w:t>
      </w:r>
    </w:p>
    <w:p w14:paraId="175746C3" w14:textId="77777777" w:rsidR="00603C04" w:rsidRPr="00603C04" w:rsidRDefault="00603C04" w:rsidP="00603C0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Real Decreto 47/2022: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Norma nacional sobre la protección de las aguas contra la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contaminación difusa producida por nitratos procedentes de fuentes agrarias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>.</w:t>
      </w:r>
    </w:p>
    <w:p w14:paraId="0A425766" w14:textId="77777777" w:rsidR="00603C04" w:rsidRPr="00603C04" w:rsidRDefault="00603C04" w:rsidP="00603C0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Decreto 36/2008 de la Junta de Andalucía (y modificaciones posteriores):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Designa las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Zonas Vulnerables a la Contaminación por Nitratos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en Andalucía, muchas de las cuales abarcan las áreas de cultivo de frutos rojos en Huelva.</w:t>
      </w:r>
    </w:p>
    <w:p w14:paraId="2E1F8C25" w14:textId="77777777" w:rsidR="00603C04" w:rsidRPr="00603C04" w:rsidRDefault="00603C04" w:rsidP="00603C04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Obligación Clave: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Los agricultores en estas zonas están obligados a aplicar un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Programa de Actuación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(aprobado por la Junta de Andalucía) que incluye:</w:t>
      </w:r>
    </w:p>
    <w:p w14:paraId="0B5021BD" w14:textId="77777777" w:rsidR="00603C04" w:rsidRPr="00603C04" w:rsidRDefault="00603C04" w:rsidP="00603C04">
      <w:pPr>
        <w:numPr>
          <w:ilvl w:val="2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Limitación de la aplicación de fertilizantes nitrogenados.</w:t>
      </w:r>
    </w:p>
    <w:p w14:paraId="1C2B0F47" w14:textId="77777777" w:rsidR="00603C04" w:rsidRPr="00603C04" w:rsidRDefault="00603C04" w:rsidP="00603C04">
      <w:pPr>
        <w:numPr>
          <w:ilvl w:val="2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Épocas y condiciones prohibidas para su aplicación.</w:t>
      </w:r>
    </w:p>
    <w:p w14:paraId="3AF5D270" w14:textId="77777777" w:rsidR="00603C04" w:rsidRPr="00603C04" w:rsidRDefault="00603C04" w:rsidP="00603C04">
      <w:pPr>
        <w:numPr>
          <w:ilvl w:val="2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Obligación de llevar un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Libro de Explotación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o registro de las prácticas de fertilización y riego.</w:t>
      </w:r>
    </w:p>
    <w:p w14:paraId="0396DCA5" w14:textId="47B11BA7" w:rsidR="00603C04" w:rsidRPr="00603C04" w:rsidRDefault="00603C04" w:rsidP="00603C04">
      <w:pPr>
        <w:rPr>
          <w:rFonts w:eastAsia="Times New Roman" w:cs="Times New Roman"/>
          <w:kern w:val="0"/>
          <w:lang w:eastAsia="es-ES_tradnl"/>
          <w14:ligatures w14:val="none"/>
        </w:rPr>
      </w:pPr>
    </w:p>
    <w:p w14:paraId="4D9B6422" w14:textId="1AC71B49" w:rsidR="00603C04" w:rsidRPr="00603C04" w:rsidRDefault="00603C04" w:rsidP="00603C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4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.  Eje del Territorio y la Biodiversidad (Entorno de Doñana)</w:t>
      </w:r>
    </w:p>
    <w:p w14:paraId="5D5D3D0C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Las explotaciones de frutos rojos cercanas al Espacio Natural de Doñana (Almonte, Rociana del Condado, etc.) están sujetas a una capa adicional de protección legal.</w:t>
      </w:r>
    </w:p>
    <w:p w14:paraId="5CFBE740" w14:textId="77777777" w:rsidR="00603C04" w:rsidRPr="00603C04" w:rsidRDefault="00603C04" w:rsidP="00603C0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Plan de Ordenación del Territorio del Ámbito de Doñana (POTAD):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Regula los usos del suelo y establece las zonas aptas para el regadío y las que deben reconvertirse. Las explotaciones ilegales en zonas prohibidas se enfrentan a órdenes de desmantelamiento.</w:t>
      </w:r>
    </w:p>
    <w:p w14:paraId="46E35FAF" w14:textId="77777777" w:rsidR="00603C04" w:rsidRPr="00603C04" w:rsidRDefault="00603C04" w:rsidP="00603C0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Ley 42/2007 del Patrimonio Natural y de la Biodiversidad: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Sanciona los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daños graves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a especies protegidas o a su hábitat, aplicable a cualquier impacto en la Red Natura 2000 (Zonas de Especial Conservación - ZEC, y Zonas de Especial Protección para las Aves - ZEPA) del entorno de Doñana.</w:t>
      </w:r>
    </w:p>
    <w:p w14:paraId="1BDAA9D2" w14:textId="2FFE3E84" w:rsidR="00603C04" w:rsidRPr="00603C04" w:rsidRDefault="00603C04" w:rsidP="00603C04">
      <w:pPr>
        <w:rPr>
          <w:rFonts w:eastAsia="Times New Roman" w:cs="Times New Roman"/>
          <w:kern w:val="0"/>
          <w:lang w:eastAsia="es-ES_tradnl"/>
          <w14:ligatures w14:val="none"/>
        </w:rPr>
      </w:pPr>
    </w:p>
    <w:p w14:paraId="2EB1B0B0" w14:textId="1FA5EDA8" w:rsidR="00603C04" w:rsidRPr="00603C04" w:rsidRDefault="00603C04" w:rsidP="00603C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5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.  Eje de Residuos y Envases</w:t>
      </w:r>
    </w:p>
    <w:p w14:paraId="71D409C8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lastRenderedPageBreak/>
        <w:t>Los productores deben cumplir con la normativa de gestión de residuos agrarios (plásticos, fitosanitarios) y de envasado.</w:t>
      </w:r>
    </w:p>
    <w:p w14:paraId="6E88202F" w14:textId="77777777" w:rsidR="00603C04" w:rsidRPr="00603C04" w:rsidRDefault="00603C04" w:rsidP="00603C04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Ley 7/2022, de Residuos y Suelos Contaminados para una Economía Circular:</w:t>
      </w:r>
    </w:p>
    <w:p w14:paraId="7747A5E1" w14:textId="77777777" w:rsidR="00603C04" w:rsidRPr="00603C04" w:rsidRDefault="00603C04" w:rsidP="00603C04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Regula la gestión de residuos generados en la agricultura (plásticos de acolchado, envases de fitosanitarios).</w:t>
      </w:r>
    </w:p>
    <w:p w14:paraId="12B39DDB" w14:textId="77777777" w:rsidR="00603C04" w:rsidRPr="00603C04" w:rsidRDefault="00603C04" w:rsidP="00603C04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Impone obligaciones de recogida selectiva y tratamiento a través de gestores autorizados.</w:t>
      </w:r>
    </w:p>
    <w:p w14:paraId="0FBB8A71" w14:textId="77777777" w:rsidR="00603C04" w:rsidRPr="00603C04" w:rsidRDefault="00603C04" w:rsidP="00603C04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Impuesto Especial sobre Envases de Plástico No Reutilizables: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Este impuesto afecta directamente a los envases utilizados para los </w:t>
      </w:r>
      <w:r w:rsidRPr="00603C04">
        <w:rPr>
          <w:rFonts w:eastAsia="Times New Roman" w:cs="Times New Roman"/>
          <w:i/>
          <w:iCs/>
          <w:kern w:val="0"/>
          <w:lang w:eastAsia="es-ES_tradnl"/>
          <w14:ligatures w14:val="none"/>
        </w:rPr>
        <w:t>berries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(Resultados 1.1), aunque el sector ha solicitado exenciones debido a las características del producto fresco.</w:t>
      </w:r>
    </w:p>
    <w:p w14:paraId="2076DC31" w14:textId="7DF38D7E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El </w:t>
      </w:r>
      <w:r w:rsidRPr="00603C04">
        <w:rPr>
          <w:rFonts w:eastAsia="Times New Roman" w:cs="Times New Roman"/>
          <w:i/>
          <w:iCs/>
          <w:kern w:val="0"/>
          <w:lang w:eastAsia="es-ES_tradnl"/>
          <w14:ligatures w14:val="none"/>
        </w:rPr>
        <w:t>Compliance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ambiental en el sector de frutos rojos en Huelva requiere una vigilancia constante, especialmente en el uso de los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recursos hídricos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(autorizaciones de la CHG y cumplimiento de las restricciones por sequía) y la gestión de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nutrientes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en las Zonas Vulnerables.</w:t>
      </w:r>
    </w:p>
    <w:p w14:paraId="2A9B2453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</w:p>
    <w:p w14:paraId="5236874F" w14:textId="18F580AF" w:rsidR="00603C04" w:rsidRPr="00603C04" w:rsidRDefault="00603C04" w:rsidP="00603C04">
      <w:pPr>
        <w:pStyle w:val="NormalWeb"/>
        <w:rPr>
          <w:rFonts w:asciiTheme="minorHAnsi" w:hAnsiTheme="minorHAnsi"/>
        </w:rPr>
      </w:pPr>
      <w:r w:rsidRPr="00603C04">
        <w:rPr>
          <w:rFonts w:asciiTheme="minorHAnsi" w:hAnsiTheme="minorHAnsi"/>
        </w:rPr>
        <w:t xml:space="preserve">La Directiva de la Unión Europea obligatoria sobre diligencia debida en materia de sostenibilidad (que incluye el medio ambiente) es la </w:t>
      </w:r>
      <w:r w:rsidRPr="00603C04">
        <w:rPr>
          <w:rFonts w:asciiTheme="minorHAnsi" w:hAnsiTheme="minorHAnsi"/>
          <w:b/>
          <w:bCs/>
        </w:rPr>
        <w:t>Directiva (UE) 2024/1760</w:t>
      </w:r>
      <w:r w:rsidRPr="00603C04">
        <w:rPr>
          <w:rFonts w:asciiTheme="minorHAnsi" w:hAnsiTheme="minorHAnsi"/>
        </w:rPr>
        <w:t xml:space="preserve">, conocida como </w:t>
      </w:r>
      <w:r w:rsidRPr="00603C04">
        <w:rPr>
          <w:rFonts w:asciiTheme="minorHAnsi" w:hAnsiTheme="minorHAnsi"/>
          <w:b/>
          <w:bCs/>
        </w:rPr>
        <w:t>CSDDD</w:t>
      </w:r>
      <w:r w:rsidRPr="00603C04">
        <w:rPr>
          <w:rFonts w:asciiTheme="minorHAnsi" w:hAnsiTheme="minorHAnsi"/>
        </w:rPr>
        <w:t xml:space="preserve"> (</w:t>
      </w:r>
      <w:r w:rsidRPr="00603C04">
        <w:rPr>
          <w:rFonts w:asciiTheme="minorHAnsi" w:hAnsiTheme="minorHAnsi"/>
          <w:i/>
          <w:iCs/>
        </w:rPr>
        <w:t>Corporice</w:t>
      </w:r>
      <w:r w:rsidRPr="00603C04">
        <w:rPr>
          <w:rFonts w:asciiTheme="minorHAnsi" w:hAnsiTheme="minorHAnsi"/>
          <w:i/>
          <w:iCs/>
        </w:rPr>
        <w:t xml:space="preserve"> Sustainability Due Diligence Directive</w:t>
      </w:r>
      <w:r w:rsidRPr="00603C04">
        <w:rPr>
          <w:rFonts w:asciiTheme="minorHAnsi" w:hAnsiTheme="minorHAnsi"/>
        </w:rPr>
        <w:t>).</w:t>
      </w:r>
    </w:p>
    <w:p w14:paraId="10F1C761" w14:textId="77777777" w:rsidR="00603C04" w:rsidRPr="00603C04" w:rsidRDefault="00603C04" w:rsidP="00603C04">
      <w:pPr>
        <w:pStyle w:val="NormalWeb"/>
        <w:rPr>
          <w:rFonts w:asciiTheme="minorHAnsi" w:hAnsiTheme="minorHAnsi"/>
        </w:rPr>
      </w:pPr>
      <w:r w:rsidRPr="00603C04">
        <w:rPr>
          <w:rFonts w:asciiTheme="minorHAnsi" w:hAnsiTheme="minorHAnsi"/>
        </w:rPr>
        <w:t xml:space="preserve">Aunque la Directiva entró en vigor en </w:t>
      </w:r>
      <w:r w:rsidRPr="00603C04">
        <w:rPr>
          <w:rFonts w:asciiTheme="minorHAnsi" w:hAnsiTheme="minorHAnsi"/>
          <w:b/>
          <w:bCs/>
        </w:rPr>
        <w:t>julio de 2024</w:t>
      </w:r>
      <w:r w:rsidRPr="00603C04">
        <w:rPr>
          <w:rFonts w:asciiTheme="minorHAnsi" w:hAnsiTheme="minorHAnsi"/>
        </w:rPr>
        <w:t xml:space="preserve">, la fecha clave de </w:t>
      </w:r>
      <w:r w:rsidRPr="00603C04">
        <w:rPr>
          <w:rFonts w:asciiTheme="minorHAnsi" w:hAnsiTheme="minorHAnsi"/>
          <w:b/>
          <w:bCs/>
        </w:rPr>
        <w:t>julio de 2026</w:t>
      </w:r>
      <w:r w:rsidRPr="00603C04">
        <w:rPr>
          <w:rFonts w:asciiTheme="minorHAnsi" w:hAnsiTheme="minorHAnsi"/>
        </w:rPr>
        <w:t xml:space="preserve"> marca el plazo límite para su implementación legal.</w:t>
      </w:r>
    </w:p>
    <w:p w14:paraId="0F7BA08B" w14:textId="77777777" w:rsidR="00603C04" w:rsidRPr="00603C04" w:rsidRDefault="00603C04" w:rsidP="00603C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Objeto Principal: Diligencia Debida en Sostenibilidad</w:t>
      </w:r>
    </w:p>
    <w:p w14:paraId="14CAB131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La CSDDD impone una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obligación legal de diligencia debida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a las grandes empresas con respecto a los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derechos humanos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y el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medio ambiente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a lo largo de sus operaciones y su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cadena de valor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(incluidas filiales y socios comerciales directos e indirectos).</w:t>
      </w:r>
    </w:p>
    <w:p w14:paraId="3EFC5D39" w14:textId="77777777" w:rsidR="00603C04" w:rsidRPr="00603C04" w:rsidRDefault="00603C04" w:rsidP="00603C0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1. Obligaciones Medioambientales Centrales</w:t>
      </w:r>
    </w:p>
    <w:p w14:paraId="729124ED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Las empresas sujetas a la Directiva deberán establecer procedimientos para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identificar, prevenir, mitigar, eliminar y reparar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los impactos adversos reales o potenciales en el medio ambiente. Esto incluye:</w:t>
      </w:r>
    </w:p>
    <w:p w14:paraId="45429467" w14:textId="77777777" w:rsidR="00603C04" w:rsidRPr="00603C04" w:rsidRDefault="00603C04" w:rsidP="00603C0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Identificación y Evaluación: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Realizar un análisis continuo de los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impactos ambientales adversos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(p. ej., contaminación de agua, emisiones de CO2</w:t>
      </w:r>
      <w:r w:rsidRPr="00603C04">
        <w:rPr>
          <w:rFonts w:ascii="Arial" w:eastAsia="Times New Roman" w:hAnsi="Arial" w:cs="Arial"/>
          <w:kern w:val="0"/>
          <w:lang w:eastAsia="es-ES_tradnl"/>
          <w14:ligatures w14:val="none"/>
        </w:rPr>
        <w:t>​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>, deforestación, mala gestión de residuos) en todas sus actividades y en las de sus proveedores.</w:t>
      </w:r>
    </w:p>
    <w:p w14:paraId="26441A72" w14:textId="77777777" w:rsidR="00603C04" w:rsidRPr="00603C04" w:rsidRDefault="00603C04" w:rsidP="00603C0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Plan de Transición Climática: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Las grandes empresas están obligadas a adoptar y aplicar un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plan de transición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para la mitigación del cambio climático, con el objetivo de garantizar la compatibilidad de su modelo de 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lastRenderedPageBreak/>
        <w:t xml:space="preserve">negocio con la limitación del calentamiento global a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1,5</w:t>
      </w:r>
      <w:r w:rsidRPr="00603C04">
        <w:rPr>
          <w:rFonts w:ascii="Cambria Math" w:eastAsia="Times New Roman" w:hAnsi="Cambria Math" w:cs="Cambria Math"/>
          <w:b/>
          <w:bCs/>
          <w:kern w:val="0"/>
          <w:lang w:eastAsia="es-ES_tradnl"/>
          <w14:ligatures w14:val="none"/>
        </w:rPr>
        <w:t>∘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C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del Acuerdo de París.</w:t>
      </w:r>
    </w:p>
    <w:p w14:paraId="1DB757E4" w14:textId="77777777" w:rsidR="00603C04" w:rsidRPr="00603C04" w:rsidRDefault="00603C04" w:rsidP="00603C0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Integración en Políticas: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Integrar la diligencia debida en todas las políticas internas y en los sistemas de gestión de riesgos, incluyendo un código de conducta y procesos de verificación.</w:t>
      </w:r>
    </w:p>
    <w:p w14:paraId="1DB37C74" w14:textId="77777777" w:rsidR="00603C04" w:rsidRPr="00603C04" w:rsidRDefault="00603C04" w:rsidP="00603C0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2. Consecuencias y Sanciones</w:t>
      </w:r>
    </w:p>
    <w:p w14:paraId="09BA3194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>La Directiva establece un mecanismo de cumplimiento con consecuencias significativas por el incumplimiento de las obligaciones de diligencia debida:</w:t>
      </w:r>
    </w:p>
    <w:p w14:paraId="470CC086" w14:textId="77777777" w:rsidR="00603C04" w:rsidRPr="00603C04" w:rsidRDefault="00603C04" w:rsidP="00603C0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Sanciones Pecuniarias: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Los Estados miembros deben establecer un régimen de sanciones administrativas, donde el límite máximo de las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sanciones pecuniarias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no podrá ser inferior al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5% del volumen de negocios mundial neto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de la empresa en el ejercicio anterior.</w:t>
      </w:r>
    </w:p>
    <w:p w14:paraId="4F42B2A4" w14:textId="77777777" w:rsidR="00603C04" w:rsidRPr="00603C04" w:rsidRDefault="00603C04" w:rsidP="00603C0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Responsabilidad Civil: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Las empresas podrán ser consideradas </w:t>
      </w: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responsables de los daños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causados a personas físicas o jurídicas (incluidos daños ambientales) cuando el daño se haya producido como consecuencia de su incumplimiento intencionado o por negligencia de las obligaciones de diligencia debida.</w:t>
      </w:r>
    </w:p>
    <w:p w14:paraId="4CCC0EE0" w14:textId="77777777" w:rsidR="00603C04" w:rsidRPr="00603C04" w:rsidRDefault="00603C04" w:rsidP="00603C0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b/>
          <w:bCs/>
          <w:kern w:val="0"/>
          <w:lang w:eastAsia="es-ES_tradnl"/>
          <w14:ligatures w14:val="none"/>
        </w:rPr>
        <w:t>Autoridades de Control: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Los Estados miembros designarán autoridades de control con poderes para investigar, exigir información, ordenar el cese de infracciones e imponer sanciones.</w:t>
      </w:r>
    </w:p>
    <w:p w14:paraId="4B638449" w14:textId="1C28C94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La CSDDD representa una de las mayores transformaciones regulatorias en </w:t>
      </w:r>
      <w:r w:rsidRPr="00603C04">
        <w:rPr>
          <w:rFonts w:eastAsia="Times New Roman" w:cs="Times New Roman"/>
          <w:i/>
          <w:iCs/>
          <w:kern w:val="0"/>
          <w:lang w:eastAsia="es-ES_tradnl"/>
          <w14:ligatures w14:val="none"/>
        </w:rPr>
        <w:t>Compliance</w:t>
      </w:r>
      <w:r w:rsidRPr="00603C04">
        <w:rPr>
          <w:rFonts w:eastAsia="Times New Roman" w:cs="Times New Roman"/>
          <w:kern w:val="0"/>
          <w:lang w:eastAsia="es-ES_tradnl"/>
          <w14:ligatures w14:val="none"/>
        </w:rPr>
        <w:t xml:space="preserve"> corporativo, obligando a las empresas a asumir la responsabilidad de sus impactos en la sostenibilidad global.</w:t>
      </w:r>
    </w:p>
    <w:p w14:paraId="37F7FD27" w14:textId="6B1E12D3" w:rsidR="00603C04" w:rsidRPr="00603C04" w:rsidRDefault="00603C04" w:rsidP="00603C04">
      <w:pPr>
        <w:pStyle w:val="NormalWeb"/>
        <w:jc w:val="both"/>
        <w:rPr>
          <w:rFonts w:asciiTheme="minorHAnsi" w:hAnsiTheme="minorHAnsi"/>
        </w:rPr>
      </w:pPr>
      <w:r w:rsidRPr="00603C04">
        <w:rPr>
          <w:rFonts w:asciiTheme="minorHAnsi" w:hAnsiTheme="minorHAnsi"/>
        </w:rPr>
        <w:t>Es por todo lo anterior, por lo que un programa de Compliance se vuelve una obligación legal para todas las personas jurídicas, y Cuna de Platero, lo tiene implantado en su política de gestión desde el año 2017.</w:t>
      </w:r>
    </w:p>
    <w:p w14:paraId="2B16FEDA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</w:p>
    <w:p w14:paraId="1A4C26CE" w14:textId="77777777" w:rsidR="00603C04" w:rsidRPr="00603C04" w:rsidRDefault="00603C04" w:rsidP="00603C04">
      <w:pPr>
        <w:spacing w:before="100" w:beforeAutospacing="1" w:after="100" w:afterAutospacing="1"/>
        <w:rPr>
          <w:rFonts w:eastAsia="Times New Roman" w:cs="Times New Roman"/>
          <w:kern w:val="0"/>
          <w:lang w:eastAsia="es-ES_tradnl"/>
          <w14:ligatures w14:val="none"/>
        </w:rPr>
      </w:pPr>
    </w:p>
    <w:p w14:paraId="666FFF77" w14:textId="77777777" w:rsidR="008327A9" w:rsidRPr="00603C04" w:rsidRDefault="008327A9"/>
    <w:sectPr w:rsidR="008327A9" w:rsidRPr="00603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14"/>
    <w:multiLevelType w:val="multilevel"/>
    <w:tmpl w:val="A6C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A14FB"/>
    <w:multiLevelType w:val="multilevel"/>
    <w:tmpl w:val="4950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F6D69"/>
    <w:multiLevelType w:val="multilevel"/>
    <w:tmpl w:val="2DF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019D4"/>
    <w:multiLevelType w:val="multilevel"/>
    <w:tmpl w:val="172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4302F"/>
    <w:multiLevelType w:val="multilevel"/>
    <w:tmpl w:val="6B2C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B4890"/>
    <w:multiLevelType w:val="multilevel"/>
    <w:tmpl w:val="F7A2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D3193"/>
    <w:multiLevelType w:val="multilevel"/>
    <w:tmpl w:val="0A6C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74157"/>
    <w:multiLevelType w:val="multilevel"/>
    <w:tmpl w:val="CC6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02ED8"/>
    <w:multiLevelType w:val="multilevel"/>
    <w:tmpl w:val="BC4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0360A"/>
    <w:multiLevelType w:val="multilevel"/>
    <w:tmpl w:val="9F2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33946"/>
    <w:multiLevelType w:val="multilevel"/>
    <w:tmpl w:val="E14A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100077">
    <w:abstractNumId w:val="3"/>
  </w:num>
  <w:num w:numId="2" w16cid:durableId="2133209380">
    <w:abstractNumId w:val="10"/>
  </w:num>
  <w:num w:numId="3" w16cid:durableId="585189655">
    <w:abstractNumId w:val="2"/>
  </w:num>
  <w:num w:numId="4" w16cid:durableId="1835411985">
    <w:abstractNumId w:val="1"/>
  </w:num>
  <w:num w:numId="5" w16cid:durableId="1154956383">
    <w:abstractNumId w:val="9"/>
  </w:num>
  <w:num w:numId="6" w16cid:durableId="502359708">
    <w:abstractNumId w:val="4"/>
  </w:num>
  <w:num w:numId="7" w16cid:durableId="105539536">
    <w:abstractNumId w:val="6"/>
  </w:num>
  <w:num w:numId="8" w16cid:durableId="1484273822">
    <w:abstractNumId w:val="7"/>
  </w:num>
  <w:num w:numId="9" w16cid:durableId="32969440">
    <w:abstractNumId w:val="5"/>
  </w:num>
  <w:num w:numId="10" w16cid:durableId="1418021215">
    <w:abstractNumId w:val="8"/>
  </w:num>
  <w:num w:numId="11" w16cid:durableId="28843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4"/>
    <w:rsid w:val="005D4ED3"/>
    <w:rsid w:val="00603C04"/>
    <w:rsid w:val="008327A9"/>
    <w:rsid w:val="00B80ABE"/>
    <w:rsid w:val="00C26694"/>
    <w:rsid w:val="00DD1D64"/>
    <w:rsid w:val="00E41774"/>
    <w:rsid w:val="00E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BE95"/>
  <w15:chartTrackingRefBased/>
  <w15:docId w15:val="{547F77EA-8799-AE44-B781-E305FF54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0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0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C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C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C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3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3C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C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C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3C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03C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3C04"/>
    <w:rPr>
      <w:color w:val="605E5C"/>
      <w:shd w:val="clear" w:color="auto" w:fill="E1DFDD"/>
    </w:rPr>
  </w:style>
  <w:style w:type="character" w:customStyle="1" w:styleId="mord">
    <w:name w:val="mord"/>
    <w:basedOn w:val="Fuentedeprrafopredeter"/>
    <w:rsid w:val="00603C04"/>
  </w:style>
  <w:style w:type="character" w:customStyle="1" w:styleId="vlist-s">
    <w:name w:val="vlist-s"/>
    <w:basedOn w:val="Fuentedeprrafopredeter"/>
    <w:rsid w:val="00603C04"/>
  </w:style>
  <w:style w:type="character" w:customStyle="1" w:styleId="mpunct">
    <w:name w:val="mpunct"/>
    <w:basedOn w:val="Fuentedeprrafopredeter"/>
    <w:rsid w:val="00603C04"/>
  </w:style>
  <w:style w:type="character" w:customStyle="1" w:styleId="mbin">
    <w:name w:val="mbin"/>
    <w:basedOn w:val="Fuentedeprrafopredeter"/>
    <w:rsid w:val="0060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cunadeplate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1531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GUTIÉRREZ BORRERO</dc:creator>
  <cp:keywords/>
  <dc:description/>
  <cp:lastModifiedBy>MÓNICA GUTIÉRREZ BORRERO</cp:lastModifiedBy>
  <cp:revision>1</cp:revision>
  <dcterms:created xsi:type="dcterms:W3CDTF">2025-10-13T16:09:00Z</dcterms:created>
  <dcterms:modified xsi:type="dcterms:W3CDTF">2025-10-13T16:28:00Z</dcterms:modified>
</cp:coreProperties>
</file>